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1A" w:rsidRDefault="00D8011A" w:rsidP="00D8011A">
      <w:pPr>
        <w:spacing w:after="0" w:line="240" w:lineRule="auto"/>
        <w:rPr>
          <w:b/>
          <w:highlight w:val="lightGray"/>
        </w:rPr>
      </w:pPr>
      <w:r w:rsidRPr="00D8011A">
        <w:rPr>
          <w:b/>
          <w:highlight w:val="lightGray"/>
        </w:rPr>
        <w:t xml:space="preserve">Case study </w:t>
      </w:r>
      <w:r w:rsidR="00CA124A">
        <w:rPr>
          <w:b/>
          <w:highlight w:val="lightGray"/>
        </w:rPr>
        <w:t xml:space="preserve">Activity </w:t>
      </w:r>
      <w:proofErr w:type="gramStart"/>
      <w:r w:rsidR="00CA124A">
        <w:rPr>
          <w:b/>
          <w:highlight w:val="lightGray"/>
        </w:rPr>
        <w:t xml:space="preserve">3 </w:t>
      </w:r>
      <w:r w:rsidRPr="00D8011A">
        <w:rPr>
          <w:b/>
          <w:highlight w:val="lightGray"/>
        </w:rPr>
        <w:t xml:space="preserve"> </w:t>
      </w:r>
      <w:r>
        <w:rPr>
          <w:b/>
          <w:highlight w:val="lightGray"/>
        </w:rPr>
        <w:t>task</w:t>
      </w:r>
      <w:proofErr w:type="gramEnd"/>
      <w:r>
        <w:rPr>
          <w:b/>
          <w:highlight w:val="lightGray"/>
        </w:rPr>
        <w:t xml:space="preserve"> description</w:t>
      </w:r>
    </w:p>
    <w:p w:rsidR="000543AC" w:rsidRDefault="000543AC" w:rsidP="000543AC">
      <w:pPr>
        <w:spacing w:after="0" w:line="240" w:lineRule="auto"/>
        <w:rPr>
          <w:b/>
        </w:rPr>
      </w:pPr>
    </w:p>
    <w:p w:rsidR="00CA124A" w:rsidRDefault="00CA124A" w:rsidP="00CA124A">
      <w:pPr>
        <w:spacing w:after="0" w:line="240" w:lineRule="auto"/>
        <w:rPr>
          <w:b/>
        </w:rPr>
      </w:pPr>
      <w:r w:rsidRPr="00CA124A">
        <w:rPr>
          <w:b/>
          <w:highlight w:val="lightGray"/>
        </w:rPr>
        <w:t>Making the case to others</w:t>
      </w:r>
    </w:p>
    <w:p w:rsidR="00CA124A" w:rsidRPr="00CA124A" w:rsidRDefault="00CA124A" w:rsidP="00CA124A">
      <w:pPr>
        <w:spacing w:after="0" w:line="240" w:lineRule="auto"/>
        <w:rPr>
          <w:b/>
        </w:rPr>
      </w:pPr>
    </w:p>
    <w:p w:rsidR="00CA124A" w:rsidRPr="00CA124A" w:rsidRDefault="00A22559" w:rsidP="00CA124A">
      <w:pPr>
        <w:spacing w:after="0" w:line="240" w:lineRule="auto"/>
      </w:pPr>
      <w:r>
        <w:t>P</w:t>
      </w:r>
      <w:r w:rsidR="00CA124A" w:rsidRPr="00CA124A">
        <w:t>articipants assume the roles of:</w:t>
      </w:r>
      <w:r w:rsidR="00CF48C8">
        <w:t xml:space="preserve">  1) </w:t>
      </w:r>
      <w:proofErr w:type="gramStart"/>
      <w:r w:rsidR="00CF48C8">
        <w:t>decision  makers</w:t>
      </w:r>
      <w:proofErr w:type="gramEnd"/>
      <w:r w:rsidR="00CF48C8">
        <w:t xml:space="preserve"> (</w:t>
      </w:r>
      <w:r w:rsidR="00CA124A" w:rsidRPr="00CA124A">
        <w:t>Sugar industry owner/ manager/ farmer /</w:t>
      </w:r>
      <w:r w:rsidR="00CF48C8" w:rsidRPr="00CF48C8">
        <w:t xml:space="preserve"> </w:t>
      </w:r>
      <w:r w:rsidR="00CF48C8" w:rsidRPr="00CA124A">
        <w:t xml:space="preserve">sector ministries </w:t>
      </w:r>
      <w:r w:rsidR="00CF48C8">
        <w:t>(energy, agriculture, industry) and 2)  potential advocacy groups (</w:t>
      </w:r>
      <w:r w:rsidR="00CA124A" w:rsidRPr="00CA124A">
        <w:t>Environment agency (NEMA)/ EU delegation/</w:t>
      </w:r>
      <w:r w:rsidR="00CF48C8" w:rsidRPr="00CA124A">
        <w:t xml:space="preserve"> </w:t>
      </w:r>
      <w:r w:rsidR="00CA124A" w:rsidRPr="00CA124A">
        <w:t>civil society</w:t>
      </w:r>
      <w:r w:rsidR="00CF48C8">
        <w:t>)</w:t>
      </w:r>
    </w:p>
    <w:p w:rsidR="00CA124A" w:rsidRPr="00CA124A" w:rsidRDefault="00CA124A" w:rsidP="00CA124A">
      <w:pPr>
        <w:spacing w:after="0" w:line="240" w:lineRule="auto"/>
      </w:pPr>
    </w:p>
    <w:p w:rsidR="00CA124A" w:rsidRPr="00CA124A" w:rsidRDefault="00CA124A" w:rsidP="00CA124A">
      <w:pPr>
        <w:spacing w:after="0" w:line="240" w:lineRule="auto"/>
      </w:pPr>
      <w:r w:rsidRPr="00CA124A">
        <w:t>Each stakeholder has a set of interests and also a set of capacities (the report and background materia</w:t>
      </w:r>
      <w:r w:rsidR="00CF48C8">
        <w:t>l gives indications about these and a summary annex on stakeholders is attached)</w:t>
      </w:r>
      <w:r w:rsidRPr="00CA124A">
        <w:t>.   There is also a set of actions that the sector has a whole could do (simplified from the background report)</w:t>
      </w:r>
    </w:p>
    <w:p w:rsidR="00CA124A" w:rsidRPr="00CA124A" w:rsidRDefault="00CA124A" w:rsidP="00CA124A">
      <w:pPr>
        <w:spacing w:after="0" w:line="240" w:lineRule="auto"/>
      </w:pPr>
    </w:p>
    <w:p w:rsidR="00CA124A" w:rsidRPr="00CA124A" w:rsidRDefault="00CA124A" w:rsidP="00CA124A">
      <w:pPr>
        <w:spacing w:after="0" w:line="240" w:lineRule="auto"/>
      </w:pPr>
      <w:r w:rsidRPr="00CA124A">
        <w:t>There would be three groups: a first group of the decision makers that need</w:t>
      </w:r>
      <w:r w:rsidR="00CF48C8">
        <w:t xml:space="preserve"> to be convinced about mainstreaming environment and implementing the mitigating and other measures</w:t>
      </w:r>
      <w:r w:rsidRPr="00CA124A">
        <w:t xml:space="preserve"> and then two “advocacy” groups (environment agency, EUD and civil society) that will make the case.</w:t>
      </w:r>
    </w:p>
    <w:p w:rsidR="00CA124A" w:rsidRPr="00CA124A" w:rsidRDefault="00CA124A" w:rsidP="00CA124A">
      <w:pPr>
        <w:spacing w:after="0" w:line="240" w:lineRule="auto"/>
      </w:pPr>
      <w:bookmarkStart w:id="0" w:name="_GoBack"/>
      <w:bookmarkEnd w:id="0"/>
    </w:p>
    <w:p w:rsidR="00CA124A" w:rsidRPr="00CA124A" w:rsidRDefault="00CA124A" w:rsidP="00CA124A">
      <w:pPr>
        <w:spacing w:after="0" w:line="240" w:lineRule="auto"/>
      </w:pPr>
      <w:r w:rsidRPr="00CA124A">
        <w:t xml:space="preserve">The </w:t>
      </w:r>
      <w:r w:rsidR="00CF48C8">
        <w:t>decision makers will f</w:t>
      </w:r>
      <w:r w:rsidRPr="00CA124A">
        <w:t xml:space="preserve">orm a panel </w:t>
      </w:r>
      <w:proofErr w:type="gramStart"/>
      <w:r w:rsidRPr="00CA124A">
        <w:t>-  and</w:t>
      </w:r>
      <w:proofErr w:type="gramEnd"/>
      <w:r w:rsidRPr="00CA124A">
        <w:t xml:space="preserve">  two “advocacy” groups  will present a case which the panel will judge and question. The panel will then decide which made the better case and took account of both capacity and vested interests and set a realistic ambition level </w:t>
      </w:r>
    </w:p>
    <w:p w:rsidR="00CA124A" w:rsidRPr="00CA124A" w:rsidRDefault="00CA124A" w:rsidP="00CA124A">
      <w:pPr>
        <w:spacing w:after="0" w:line="240" w:lineRule="auto"/>
      </w:pPr>
    </w:p>
    <w:p w:rsidR="00CF48C8" w:rsidRDefault="00CA124A" w:rsidP="00CA124A">
      <w:pPr>
        <w:spacing w:after="0" w:line="240" w:lineRule="auto"/>
      </w:pPr>
      <w:r w:rsidRPr="00CA124A">
        <w:t xml:space="preserve">10’ for additional reading; 20’ for group discussion and cards; </w:t>
      </w:r>
      <w:proofErr w:type="gramStart"/>
      <w:r w:rsidRPr="00CA124A">
        <w:t>30’  for</w:t>
      </w:r>
      <w:proofErr w:type="gramEnd"/>
      <w:r w:rsidRPr="00CA124A">
        <w:t xml:space="preserve"> plenary presentation to panel; 20 for summing up and discussion. Allow 1½hrs</w:t>
      </w:r>
      <w:r w:rsidRPr="00CA124A">
        <w:tab/>
      </w:r>
    </w:p>
    <w:p w:rsidR="00CF48C8" w:rsidRDefault="00CF48C8" w:rsidP="00CA124A">
      <w:pPr>
        <w:spacing w:after="0" w:line="240" w:lineRule="auto"/>
        <w:rPr>
          <w:b/>
        </w:rPr>
      </w:pPr>
    </w:p>
    <w:p w:rsidR="00A22559" w:rsidRPr="000543AC" w:rsidRDefault="00A22559" w:rsidP="00CA124A">
      <w:pPr>
        <w:spacing w:after="0" w:line="240" w:lineRule="auto"/>
      </w:pPr>
      <w:r>
        <w:rPr>
          <w:b/>
        </w:rPr>
        <w:t>Annex on stakeholders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901"/>
        <w:gridCol w:w="3285"/>
      </w:tblGrid>
      <w:tr w:rsidR="00A22559" w:rsidTr="00CF48C8">
        <w:tc>
          <w:tcPr>
            <w:tcW w:w="1668" w:type="dxa"/>
            <w:shd w:val="clear" w:color="auto" w:fill="F2F2F2"/>
          </w:tcPr>
          <w:p w:rsidR="00A22559" w:rsidRPr="00CF48C8" w:rsidRDefault="00A22559" w:rsidP="00CF48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F48C8">
              <w:rPr>
                <w:b/>
                <w:sz w:val="20"/>
                <w:szCs w:val="20"/>
              </w:rPr>
              <w:t>Stakeholder</w:t>
            </w:r>
          </w:p>
        </w:tc>
        <w:tc>
          <w:tcPr>
            <w:tcW w:w="4901" w:type="dxa"/>
            <w:shd w:val="clear" w:color="auto" w:fill="F2F2F2"/>
          </w:tcPr>
          <w:p w:rsidR="00A22559" w:rsidRPr="00CF48C8" w:rsidRDefault="00A22559" w:rsidP="00CF48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F48C8">
              <w:rPr>
                <w:b/>
                <w:sz w:val="20"/>
                <w:szCs w:val="20"/>
              </w:rPr>
              <w:t>Interests</w:t>
            </w:r>
          </w:p>
        </w:tc>
        <w:tc>
          <w:tcPr>
            <w:tcW w:w="3285" w:type="dxa"/>
            <w:shd w:val="clear" w:color="auto" w:fill="F2F2F2"/>
          </w:tcPr>
          <w:p w:rsidR="00A22559" w:rsidRPr="00CF48C8" w:rsidRDefault="00A22559" w:rsidP="00CF48C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F48C8">
              <w:rPr>
                <w:b/>
                <w:sz w:val="20"/>
                <w:szCs w:val="20"/>
              </w:rPr>
              <w:t>Capacities</w:t>
            </w:r>
          </w:p>
        </w:tc>
      </w:tr>
      <w:tr w:rsidR="00A22559" w:rsidTr="00CF48C8">
        <w:tc>
          <w:tcPr>
            <w:tcW w:w="1668" w:type="dxa"/>
            <w:shd w:val="clear" w:color="auto" w:fill="auto"/>
          </w:tcPr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Sugar factory owner</w:t>
            </w:r>
            <w:r w:rsidR="00EB2FC7" w:rsidRPr="00CF48C8">
              <w:rPr>
                <w:sz w:val="20"/>
                <w:szCs w:val="20"/>
              </w:rPr>
              <w:t xml:space="preserve"> (private and government)</w:t>
            </w:r>
          </w:p>
          <w:p w:rsidR="00EB2FC7" w:rsidRPr="00CF48C8" w:rsidRDefault="00EB2FC7" w:rsidP="00CF48C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01" w:type="dxa"/>
            <w:shd w:val="clear" w:color="auto" w:fill="auto"/>
          </w:tcPr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Safe guard investment</w:t>
            </w:r>
          </w:p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Adjust production costs to reduce impact of tariff changes</w:t>
            </w:r>
          </w:p>
          <w:p w:rsidR="0087186B" w:rsidRPr="00CF48C8" w:rsidRDefault="0087186B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Vested interests to slow privatisation</w:t>
            </w:r>
          </w:p>
          <w:p w:rsidR="0087186B" w:rsidRPr="00CF48C8" w:rsidRDefault="0087186B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Expand production areas (new mills)</w:t>
            </w:r>
          </w:p>
        </w:tc>
        <w:tc>
          <w:tcPr>
            <w:tcW w:w="3285" w:type="dxa"/>
            <w:shd w:val="clear" w:color="auto" w:fill="auto"/>
          </w:tcPr>
          <w:p w:rsidR="00A22559" w:rsidRPr="00CF48C8" w:rsidRDefault="00CF48C8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Government factories have lower capacity</w:t>
            </w:r>
          </w:p>
          <w:p w:rsidR="00CF48C8" w:rsidRPr="00CF48C8" w:rsidRDefault="00CF48C8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 xml:space="preserve">New investors tend to have high capacity </w:t>
            </w:r>
          </w:p>
        </w:tc>
      </w:tr>
      <w:tr w:rsidR="00A22559" w:rsidTr="00CF48C8">
        <w:tc>
          <w:tcPr>
            <w:tcW w:w="1668" w:type="dxa"/>
            <w:shd w:val="clear" w:color="auto" w:fill="auto"/>
          </w:tcPr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Manager</w:t>
            </w:r>
            <w:r w:rsidR="00CF48C8" w:rsidRPr="00CF48C8">
              <w:rPr>
                <w:sz w:val="20"/>
                <w:szCs w:val="20"/>
              </w:rPr>
              <w:t>/ workers</w:t>
            </w:r>
          </w:p>
        </w:tc>
        <w:tc>
          <w:tcPr>
            <w:tcW w:w="4901" w:type="dxa"/>
            <w:shd w:val="clear" w:color="auto" w:fill="auto"/>
          </w:tcPr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Profitable operation that safe guards employment so operations are not on a skeleton budget</w:t>
            </w:r>
          </w:p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 xml:space="preserve">Simplify operations and reduce complexity </w:t>
            </w:r>
          </w:p>
        </w:tc>
        <w:tc>
          <w:tcPr>
            <w:tcW w:w="3285" w:type="dxa"/>
            <w:shd w:val="clear" w:color="auto" w:fill="auto"/>
          </w:tcPr>
          <w:p w:rsidR="00A22559" w:rsidRPr="00CF48C8" w:rsidRDefault="00CF48C8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 xml:space="preserve">Vary depending on whether government or private (old or new) </w:t>
            </w:r>
          </w:p>
        </w:tc>
      </w:tr>
      <w:tr w:rsidR="00A22559" w:rsidTr="00CF48C8">
        <w:tc>
          <w:tcPr>
            <w:tcW w:w="1668" w:type="dxa"/>
            <w:shd w:val="clear" w:color="auto" w:fill="auto"/>
          </w:tcPr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Farmer</w:t>
            </w:r>
            <w:r w:rsidR="00EB2FC7" w:rsidRPr="00CF48C8">
              <w:rPr>
                <w:sz w:val="20"/>
                <w:szCs w:val="20"/>
              </w:rPr>
              <w:t xml:space="preserve"> (Kenya sugar growers association)</w:t>
            </w:r>
          </w:p>
        </w:tc>
        <w:tc>
          <w:tcPr>
            <w:tcW w:w="4901" w:type="dxa"/>
            <w:shd w:val="clear" w:color="auto" w:fill="auto"/>
          </w:tcPr>
          <w:p w:rsidR="00A22559" w:rsidRPr="00CF48C8" w:rsidRDefault="0087186B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High price for cane and s</w:t>
            </w:r>
            <w:r w:rsidR="00A22559" w:rsidRPr="00CF48C8">
              <w:rPr>
                <w:sz w:val="20"/>
                <w:szCs w:val="20"/>
              </w:rPr>
              <w:t>teady dependable sales</w:t>
            </w:r>
          </w:p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 xml:space="preserve">Safe working conditions </w:t>
            </w:r>
          </w:p>
          <w:p w:rsidR="00EB2FC7" w:rsidRPr="00CF48C8" w:rsidRDefault="00EB2FC7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Sucrose cane payment system</w:t>
            </w:r>
          </w:p>
          <w:p w:rsidR="0087186B" w:rsidRPr="00CF48C8" w:rsidRDefault="0087186B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Improved research and extension services</w:t>
            </w:r>
          </w:p>
        </w:tc>
        <w:tc>
          <w:tcPr>
            <w:tcW w:w="3285" w:type="dxa"/>
            <w:shd w:val="clear" w:color="auto" w:fill="auto"/>
          </w:tcPr>
          <w:p w:rsidR="00A22559" w:rsidRPr="00CF48C8" w:rsidRDefault="0087186B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Many grower associations under the KESMA umbrella are weak</w:t>
            </w:r>
          </w:p>
          <w:p w:rsidR="0087186B" w:rsidRPr="00CF48C8" w:rsidRDefault="0087186B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Poor cane husbandry</w:t>
            </w:r>
          </w:p>
          <w:p w:rsidR="0087186B" w:rsidRPr="00CF48C8" w:rsidRDefault="0087186B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High transport costs</w:t>
            </w:r>
          </w:p>
        </w:tc>
      </w:tr>
      <w:tr w:rsidR="00A22559" w:rsidTr="00CF48C8">
        <w:tc>
          <w:tcPr>
            <w:tcW w:w="1668" w:type="dxa"/>
            <w:shd w:val="clear" w:color="auto" w:fill="auto"/>
          </w:tcPr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Sector Ministries</w:t>
            </w:r>
          </w:p>
          <w:p w:rsidR="0087186B" w:rsidRPr="00CF48C8" w:rsidRDefault="0087186B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(sugar board; research bodies)</w:t>
            </w:r>
          </w:p>
        </w:tc>
        <w:tc>
          <w:tcPr>
            <w:tcW w:w="4901" w:type="dxa"/>
            <w:shd w:val="clear" w:color="auto" w:fill="auto"/>
          </w:tcPr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Safeguard the Kenyan sugar industry</w:t>
            </w:r>
          </w:p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Reduce the subsidy and sugar price disparity</w:t>
            </w:r>
          </w:p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Ensure continued rural employment</w:t>
            </w:r>
          </w:p>
        </w:tc>
        <w:tc>
          <w:tcPr>
            <w:tcW w:w="3285" w:type="dxa"/>
            <w:shd w:val="clear" w:color="auto" w:fill="auto"/>
          </w:tcPr>
          <w:p w:rsidR="00A22559" w:rsidRPr="00CF48C8" w:rsidRDefault="008576D1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Low staff capacities and recurrent budget</w:t>
            </w:r>
          </w:p>
        </w:tc>
      </w:tr>
      <w:tr w:rsidR="00A22559" w:rsidTr="00CF48C8">
        <w:tc>
          <w:tcPr>
            <w:tcW w:w="1668" w:type="dxa"/>
            <w:shd w:val="clear" w:color="auto" w:fill="auto"/>
          </w:tcPr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NEMA</w:t>
            </w:r>
          </w:p>
        </w:tc>
        <w:tc>
          <w:tcPr>
            <w:tcW w:w="4901" w:type="dxa"/>
            <w:shd w:val="clear" w:color="auto" w:fill="auto"/>
          </w:tcPr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Environmental and climate impact understood</w:t>
            </w:r>
          </w:p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Compliance with relevant regulations</w:t>
            </w:r>
          </w:p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Exploit opportunities to improve the environment, reduce emissions and adapt to CC</w:t>
            </w:r>
          </w:p>
          <w:p w:rsidR="00717EC6" w:rsidRPr="00CF48C8" w:rsidRDefault="00717EC6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Habitat protection; Soil erosion</w:t>
            </w:r>
          </w:p>
        </w:tc>
        <w:tc>
          <w:tcPr>
            <w:tcW w:w="3285" w:type="dxa"/>
            <w:shd w:val="clear" w:color="auto" w:fill="auto"/>
          </w:tcPr>
          <w:p w:rsidR="00A22559" w:rsidRPr="00CF48C8" w:rsidRDefault="0039004A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Capacity</w:t>
            </w:r>
            <w:r w:rsidR="00CF48C8" w:rsidRPr="00CF48C8">
              <w:rPr>
                <w:sz w:val="20"/>
                <w:szCs w:val="20"/>
              </w:rPr>
              <w:t xml:space="preserve"> and budget available </w:t>
            </w:r>
            <w:r w:rsidRPr="00CF48C8">
              <w:rPr>
                <w:sz w:val="20"/>
                <w:szCs w:val="20"/>
              </w:rPr>
              <w:t xml:space="preserve"> to monitor and enforce regulations</w:t>
            </w:r>
            <w:r w:rsidR="00CF48C8" w:rsidRPr="00CF48C8">
              <w:rPr>
                <w:sz w:val="20"/>
                <w:szCs w:val="20"/>
              </w:rPr>
              <w:t xml:space="preserve"> is limited</w:t>
            </w:r>
          </w:p>
        </w:tc>
      </w:tr>
      <w:tr w:rsidR="00A22559" w:rsidTr="00CF48C8">
        <w:tc>
          <w:tcPr>
            <w:tcW w:w="1668" w:type="dxa"/>
            <w:shd w:val="clear" w:color="auto" w:fill="auto"/>
          </w:tcPr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EUD</w:t>
            </w:r>
          </w:p>
        </w:tc>
        <w:tc>
          <w:tcPr>
            <w:tcW w:w="4901" w:type="dxa"/>
            <w:shd w:val="clear" w:color="auto" w:fill="auto"/>
          </w:tcPr>
          <w:p w:rsidR="00A22559" w:rsidRPr="00CF48C8" w:rsidRDefault="00813A68" w:rsidP="00CF48C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 xml:space="preserve">Reduce risks of collapse </w:t>
            </w:r>
            <w:r w:rsidR="00EB2FC7" w:rsidRPr="00CF48C8">
              <w:rPr>
                <w:sz w:val="20"/>
                <w:szCs w:val="20"/>
              </w:rPr>
              <w:t xml:space="preserve"> of the sugar </w:t>
            </w:r>
            <w:r w:rsidRPr="00CF48C8">
              <w:rPr>
                <w:sz w:val="20"/>
                <w:szCs w:val="20"/>
              </w:rPr>
              <w:t>due</w:t>
            </w:r>
            <w:r w:rsidR="00EB2FC7" w:rsidRPr="00CF48C8">
              <w:rPr>
                <w:sz w:val="20"/>
                <w:szCs w:val="20"/>
              </w:rPr>
              <w:t xml:space="preserve"> the </w:t>
            </w:r>
            <w:r w:rsidRPr="00CF48C8">
              <w:rPr>
                <w:rFonts w:ascii="TimesNewRoman" w:hAnsi="TimesNewRoman" w:cs="TimesNewRoman"/>
                <w:sz w:val="20"/>
                <w:szCs w:val="20"/>
                <w:lang w:eastAsia="en-GB"/>
              </w:rPr>
              <w:t xml:space="preserve"> slow pace of privatization </w:t>
            </w:r>
            <w:r w:rsidR="00EB2FC7" w:rsidRPr="00CF48C8">
              <w:rPr>
                <w:rFonts w:ascii="TimesNewRoman" w:hAnsi="TimesNewRoman" w:cs="TimesNewRoman"/>
                <w:sz w:val="20"/>
                <w:szCs w:val="20"/>
                <w:lang w:eastAsia="en-GB"/>
              </w:rPr>
              <w:t>/ reform</w:t>
            </w:r>
          </w:p>
        </w:tc>
        <w:tc>
          <w:tcPr>
            <w:tcW w:w="3285" w:type="dxa"/>
            <w:shd w:val="clear" w:color="auto" w:fill="auto"/>
          </w:tcPr>
          <w:p w:rsidR="00A22559" w:rsidRPr="00CF48C8" w:rsidRDefault="00CF48C8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Limited resources to monitor</w:t>
            </w:r>
          </w:p>
        </w:tc>
      </w:tr>
      <w:tr w:rsidR="00A22559" w:rsidTr="00CF48C8">
        <w:tc>
          <w:tcPr>
            <w:tcW w:w="1668" w:type="dxa"/>
            <w:shd w:val="clear" w:color="auto" w:fill="auto"/>
          </w:tcPr>
          <w:p w:rsidR="00A22559" w:rsidRPr="00CF48C8" w:rsidRDefault="00A22559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Civil society</w:t>
            </w:r>
          </w:p>
        </w:tc>
        <w:tc>
          <w:tcPr>
            <w:tcW w:w="4901" w:type="dxa"/>
            <w:shd w:val="clear" w:color="auto" w:fill="auto"/>
          </w:tcPr>
          <w:p w:rsidR="00CF48C8" w:rsidRPr="00CF48C8" w:rsidRDefault="00717EC6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Competition for land, given increasing population (Western Kenya)</w:t>
            </w:r>
            <w:r w:rsidR="00CF48C8" w:rsidRPr="00CF48C8">
              <w:rPr>
                <w:sz w:val="20"/>
                <w:szCs w:val="20"/>
              </w:rPr>
              <w:t xml:space="preserve"> Land use change </w:t>
            </w:r>
          </w:p>
          <w:p w:rsidR="00717EC6" w:rsidRPr="00CF48C8" w:rsidRDefault="00717EC6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 xml:space="preserve">Competition for access to water </w:t>
            </w:r>
          </w:p>
          <w:p w:rsidR="0039004A" w:rsidRPr="00CF48C8" w:rsidRDefault="0039004A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Water pollution from sugar mill effluent</w:t>
            </w:r>
          </w:p>
        </w:tc>
        <w:tc>
          <w:tcPr>
            <w:tcW w:w="3285" w:type="dxa"/>
            <w:shd w:val="clear" w:color="auto" w:fill="auto"/>
          </w:tcPr>
          <w:p w:rsidR="00A22559" w:rsidRPr="00CF48C8" w:rsidRDefault="0039004A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Access to information</w:t>
            </w:r>
            <w:r w:rsidR="002C2BF4" w:rsidRPr="00CF48C8">
              <w:rPr>
                <w:sz w:val="20"/>
                <w:szCs w:val="20"/>
              </w:rPr>
              <w:t xml:space="preserve"> is weak</w:t>
            </w:r>
          </w:p>
          <w:p w:rsidR="002C2BF4" w:rsidRPr="00CF48C8" w:rsidRDefault="002C2BF4" w:rsidP="00CF48C8">
            <w:pPr>
              <w:spacing w:after="0" w:line="240" w:lineRule="auto"/>
              <w:rPr>
                <w:sz w:val="20"/>
                <w:szCs w:val="20"/>
              </w:rPr>
            </w:pPr>
            <w:r w:rsidRPr="00CF48C8">
              <w:rPr>
                <w:sz w:val="20"/>
                <w:szCs w:val="20"/>
              </w:rPr>
              <w:t>Do not act with one voice</w:t>
            </w:r>
          </w:p>
        </w:tc>
      </w:tr>
    </w:tbl>
    <w:p w:rsidR="00D8011A" w:rsidRPr="00D8011A" w:rsidRDefault="00D8011A" w:rsidP="00CF48C8">
      <w:pPr>
        <w:rPr>
          <w:lang w:val="da-DK"/>
        </w:rPr>
      </w:pPr>
    </w:p>
    <w:sectPr w:rsidR="00D8011A" w:rsidRPr="00D8011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7F53"/>
    <w:multiLevelType w:val="multilevel"/>
    <w:tmpl w:val="E63ABB62"/>
    <w:lvl w:ilvl="0">
      <w:start w:val="1"/>
      <w:numFmt w:val="upperLetter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5615E3"/>
    <w:multiLevelType w:val="hybridMultilevel"/>
    <w:tmpl w:val="96EEC9B6"/>
    <w:lvl w:ilvl="0" w:tplc="349EFE9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37C7A"/>
    <w:multiLevelType w:val="multilevel"/>
    <w:tmpl w:val="65224708"/>
    <w:lvl w:ilvl="0">
      <w:start w:val="1"/>
      <w:numFmt w:val="lowerRoman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C405C"/>
    <w:multiLevelType w:val="multilevel"/>
    <w:tmpl w:val="A838DD2C"/>
    <w:lvl w:ilvl="0">
      <w:start w:val="1"/>
      <w:numFmt w:val="lowerRoman"/>
      <w:lvlText w:val="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B94590"/>
    <w:multiLevelType w:val="hybridMultilevel"/>
    <w:tmpl w:val="948C544E"/>
    <w:lvl w:ilvl="0" w:tplc="1CD099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E2E6F"/>
    <w:multiLevelType w:val="hybridMultilevel"/>
    <w:tmpl w:val="38265F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7C459ED"/>
    <w:multiLevelType w:val="multilevel"/>
    <w:tmpl w:val="25745382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3639A8"/>
    <w:multiLevelType w:val="hybridMultilevel"/>
    <w:tmpl w:val="E41A3490"/>
    <w:lvl w:ilvl="0" w:tplc="E2602B1A">
      <w:start w:val="1"/>
      <w:numFmt w:val="lowerRoman"/>
      <w:lvlText w:val="%1)"/>
      <w:lvlJc w:val="left"/>
      <w:pPr>
        <w:ind w:left="1080" w:hanging="72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11A"/>
    <w:rsid w:val="000543AC"/>
    <w:rsid w:val="001F2727"/>
    <w:rsid w:val="002C2BF4"/>
    <w:rsid w:val="00331613"/>
    <w:rsid w:val="0039004A"/>
    <w:rsid w:val="003E112F"/>
    <w:rsid w:val="005B04D4"/>
    <w:rsid w:val="006973D9"/>
    <w:rsid w:val="00717EC6"/>
    <w:rsid w:val="00813A68"/>
    <w:rsid w:val="008576D1"/>
    <w:rsid w:val="0087186B"/>
    <w:rsid w:val="008D35BF"/>
    <w:rsid w:val="00A22559"/>
    <w:rsid w:val="00CA124A"/>
    <w:rsid w:val="00CF48C8"/>
    <w:rsid w:val="00D01E0B"/>
    <w:rsid w:val="00D8011A"/>
    <w:rsid w:val="00EB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A22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Bjørn Bauer</cp:lastModifiedBy>
  <cp:revision>2</cp:revision>
  <dcterms:created xsi:type="dcterms:W3CDTF">2014-10-15T13:42:00Z</dcterms:created>
  <dcterms:modified xsi:type="dcterms:W3CDTF">2014-10-15T13:42:00Z</dcterms:modified>
</cp:coreProperties>
</file>